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40C3B" w14:textId="10C7676F" w:rsidR="00711D36" w:rsidRPr="00711D36" w:rsidRDefault="00711D36" w:rsidP="00711D36">
      <w:pPr>
        <w:shd w:val="clear" w:color="auto" w:fill="F4F4F4"/>
        <w:rPr>
          <w:rFonts w:ascii="Titilium-Regular" w:eastAsia="Times New Roman" w:hAnsi="Titilium-Regular" w:cs="Times New Roman"/>
          <w:color w:val="000000"/>
        </w:rPr>
      </w:pPr>
      <w:r w:rsidRPr="00711D36">
        <w:rPr>
          <w:rFonts w:ascii="Titilium-Regular" w:eastAsia="Times New Roman" w:hAnsi="Titilium-Regular" w:cs="Times New Roman"/>
          <w:color w:val="000000"/>
        </w:rPr>
        <w:fldChar w:fldCharType="begin"/>
      </w:r>
      <w:r w:rsidRPr="00711D36">
        <w:rPr>
          <w:rFonts w:ascii="Titilium-Regular" w:eastAsia="Times New Roman" w:hAnsi="Titilium-Regular" w:cs="Times New Roman"/>
          <w:color w:val="000000"/>
        </w:rPr>
        <w:instrText xml:space="preserve"> INCLUDEPICTURE "https://mabati.com/wp-content/uploads/2019/05/NEWLOK_LOGO.png" \* MERGEFORMATINET </w:instrText>
      </w:r>
      <w:r w:rsidRPr="00711D36">
        <w:rPr>
          <w:rFonts w:ascii="Titilium-Regular" w:eastAsia="Times New Roman" w:hAnsi="Titilium-Regular" w:cs="Times New Roman"/>
          <w:color w:val="000000"/>
        </w:rPr>
        <w:fldChar w:fldCharType="separate"/>
      </w:r>
      <w:r w:rsidRPr="00711D36">
        <w:rPr>
          <w:rFonts w:ascii="Titilium-Regular" w:eastAsia="Times New Roman" w:hAnsi="Titilium-Regular" w:cs="Times New Roman"/>
          <w:noProof/>
          <w:color w:val="000000"/>
        </w:rPr>
        <w:drawing>
          <wp:inline distT="0" distB="0" distL="0" distR="0" wp14:anchorId="4CC38076" wp14:editId="255A359C">
            <wp:extent cx="5078730" cy="2543810"/>
            <wp:effectExtent l="0" t="0" r="0" b="0"/>
            <wp:docPr id="1" name="Picture 1" descr="M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730" cy="254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D36">
        <w:rPr>
          <w:rFonts w:ascii="Titilium-Regular" w:eastAsia="Times New Roman" w:hAnsi="Titilium-Regular" w:cs="Times New Roman"/>
          <w:color w:val="000000"/>
        </w:rPr>
        <w:fldChar w:fldCharType="end"/>
      </w:r>
    </w:p>
    <w:p w14:paraId="18F5F35A" w14:textId="77777777" w:rsidR="00711D36" w:rsidRPr="00711D36" w:rsidRDefault="00711D36" w:rsidP="00711D36">
      <w:pPr>
        <w:shd w:val="clear" w:color="auto" w:fill="F4F4F4"/>
        <w:spacing w:after="240" w:line="450" w:lineRule="atLeast"/>
        <w:rPr>
          <w:rFonts w:ascii="Avenir" w:eastAsia="Times New Roman" w:hAnsi="Avenir" w:cs="Times New Roman"/>
          <w:color w:val="343233"/>
          <w:sz w:val="29"/>
          <w:szCs w:val="29"/>
        </w:rPr>
      </w:pPr>
      <w:r w:rsidRPr="00711D36">
        <w:rPr>
          <w:rFonts w:ascii="Avenir" w:eastAsia="Times New Roman" w:hAnsi="Avenir" w:cs="Times New Roman"/>
          <w:color w:val="343233"/>
          <w:sz w:val="29"/>
          <w:szCs w:val="29"/>
        </w:rPr>
        <w:t>Newlok’s unique interlocking clipping system incorporates a concealed cleat to positively hold down the male-female joint at every rib. The profile can be roll-formed by a mobile mill on the building site, in continuous lengths. The two-part cleat allows for natural thermal expansion and contraction of the sheet, and the 50,8mm rib height delivers optimal water shedding capabilities at slopes as low as 1.5°.</w:t>
      </w:r>
    </w:p>
    <w:p w14:paraId="4BED8B12" w14:textId="77777777" w:rsidR="00711D36" w:rsidRDefault="00711D36"/>
    <w:sectPr w:rsidR="00711D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ium-Regular">
    <w:altName w:val="Cambria"/>
    <w:panose1 w:val="020B0604020202020204"/>
    <w:charset w:val="00"/>
    <w:family w:val="roman"/>
    <w:notTrueType/>
    <w:pitch w:val="default"/>
  </w:font>
  <w:font w:name="Avenir">
    <w:altName w:val="Avenir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D36"/>
    <w:rsid w:val="0071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22E8F7"/>
  <w15:chartTrackingRefBased/>
  <w15:docId w15:val="{3B903AAF-09C7-B640-8282-A9769F26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TW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1D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3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00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Ghafur Zulfikar</dc:creator>
  <cp:keywords/>
  <dc:description/>
  <cp:lastModifiedBy>Ghafur Zulfikar</cp:lastModifiedBy>
  <cp:revision>1</cp:revision>
  <dcterms:created xsi:type="dcterms:W3CDTF">2020-10-14T05:04:00Z</dcterms:created>
  <dcterms:modified xsi:type="dcterms:W3CDTF">2020-10-14T05:05:00Z</dcterms:modified>
</cp:coreProperties>
</file>